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6" w:rsidRPr="00A41608" w:rsidRDefault="00F87595" w:rsidP="007A0246">
      <w:pPr>
        <w:bidi/>
        <w:spacing w:before="360" w:after="120" w:line="360" w:lineRule="auto"/>
        <w:jc w:val="center"/>
        <w:rPr>
          <w:rFonts w:asciiTheme="majorBidi" w:hAnsiTheme="majorBidi" w:cstheme="majorBidi"/>
          <w:b/>
          <w:bCs/>
          <w:spacing w:val="-22"/>
          <w:w w:val="13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pacing w:val="-22"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.35pt;margin-top:-37.95pt;width:497.25pt;height:63.5pt;z-index:251658240;v-text-anchor:middle" fillcolor="#92cddc [1944]" strokecolor="#92cddc [1944]" strokeweight="1pt">
            <v:fill opacity="51118f"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615D8E" w:rsidRDefault="00D46F62" w:rsidP="00D46F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</w:pPr>
                  <w:r w:rsidRPr="003870A9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Etude </w:t>
                  </w: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de positionnement </w:t>
                  </w:r>
                  <w:r w:rsidR="00615D8E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sectoriel </w:t>
                  </w: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stratégique </w:t>
                  </w:r>
                </w:p>
                <w:p w:rsidR="00D46F62" w:rsidRPr="003870A9" w:rsidRDefault="00615D8E" w:rsidP="00D46F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>G</w:t>
                  </w:r>
                  <w:r w:rsidR="00D46F62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>ouvernorat de GAFSA</w:t>
                  </w:r>
                </w:p>
                <w:p w:rsidR="00D46F62" w:rsidRDefault="00D46F62"/>
              </w:txbxContent>
            </v:textbox>
          </v:shape>
        </w:pict>
      </w:r>
    </w:p>
    <w:tbl>
      <w:tblPr>
        <w:tblStyle w:val="Grilledutableau"/>
        <w:bidiVisual/>
        <w:tblW w:w="9923" w:type="dxa"/>
        <w:tblInd w:w="-3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7A0246" w:rsidRPr="006564D3" w:rsidTr="008D7B0D">
        <w:trPr>
          <w:trHeight w:val="470"/>
        </w:trPr>
        <w:tc>
          <w:tcPr>
            <w:tcW w:w="9923" w:type="dxa"/>
          </w:tcPr>
          <w:p w:rsidR="007A0246" w:rsidRPr="00A41608" w:rsidRDefault="007A0246" w:rsidP="00D46F62">
            <w:pPr>
              <w:bidi/>
              <w:spacing w:before="120" w:after="120" w:line="260" w:lineRule="exact"/>
              <w:jc w:val="right"/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  <w:rtl/>
              </w:rPr>
            </w:pPr>
            <w:r w:rsidRPr="00A41608"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</w:rPr>
              <w:t>Données Générales :</w:t>
            </w:r>
          </w:p>
        </w:tc>
      </w:tr>
    </w:tbl>
    <w:p w:rsidR="007A0246" w:rsidRDefault="007A0246" w:rsidP="007A0246">
      <w:pPr>
        <w:tabs>
          <w:tab w:val="left" w:pos="1635"/>
        </w:tabs>
        <w:jc w:val="center"/>
      </w:pPr>
    </w:p>
    <w:p w:rsidR="007A0246" w:rsidRPr="007A363D" w:rsidRDefault="008D7B0D" w:rsidP="002E0809">
      <w:pPr>
        <w:tabs>
          <w:tab w:val="left" w:pos="1635"/>
        </w:tabs>
        <w:ind w:left="-567" w:right="-14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7A0246" w:rsidRPr="0055302B">
        <w:rPr>
          <w:rFonts w:asciiTheme="majorBidi" w:hAnsiTheme="majorBidi" w:cstheme="majorBidi"/>
          <w:b/>
          <w:bCs/>
          <w:sz w:val="24"/>
          <w:szCs w:val="24"/>
        </w:rPr>
        <w:t>Date d’é</w:t>
      </w:r>
      <w:r w:rsidR="00615D8E" w:rsidRPr="0055302B">
        <w:rPr>
          <w:rFonts w:asciiTheme="majorBidi" w:hAnsiTheme="majorBidi" w:cstheme="majorBidi"/>
          <w:b/>
          <w:bCs/>
          <w:sz w:val="24"/>
          <w:szCs w:val="24"/>
        </w:rPr>
        <w:t>dit</w:t>
      </w:r>
      <w:r w:rsidR="007A0246" w:rsidRPr="0055302B">
        <w:rPr>
          <w:rFonts w:asciiTheme="majorBidi" w:hAnsiTheme="majorBidi" w:cstheme="majorBidi"/>
          <w:b/>
          <w:bCs/>
          <w:sz w:val="24"/>
          <w:szCs w:val="24"/>
        </w:rPr>
        <w:t>ion</w:t>
      </w:r>
      <w:r w:rsidR="007A0246" w:rsidRPr="00867708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DF1D76" w:rsidRPr="0086770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F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F1D76" w:rsidRPr="00DF1D76">
        <w:rPr>
          <w:rFonts w:asciiTheme="majorBidi" w:hAnsiTheme="majorBidi" w:cstheme="majorBidi"/>
          <w:sz w:val="24"/>
          <w:szCs w:val="24"/>
        </w:rPr>
        <w:t>Mai</w:t>
      </w:r>
      <w:r w:rsidR="007A0246" w:rsidRPr="007A363D">
        <w:rPr>
          <w:rFonts w:asciiTheme="majorBidi" w:hAnsiTheme="majorBidi" w:cstheme="majorBidi"/>
          <w:sz w:val="24"/>
          <w:szCs w:val="24"/>
        </w:rPr>
        <w:t xml:space="preserve"> 201</w:t>
      </w:r>
      <w:r w:rsidR="00B90036">
        <w:rPr>
          <w:rFonts w:asciiTheme="majorBidi" w:hAnsiTheme="majorBidi" w:cstheme="majorBidi"/>
          <w:sz w:val="24"/>
          <w:szCs w:val="24"/>
        </w:rPr>
        <w:t>3</w:t>
      </w:r>
      <w:r w:rsidR="007A0246" w:rsidRPr="007A363D">
        <w:rPr>
          <w:rFonts w:asciiTheme="majorBidi" w:hAnsiTheme="majorBidi" w:cstheme="majorBidi"/>
          <w:sz w:val="24"/>
          <w:szCs w:val="24"/>
        </w:rPr>
        <w:t xml:space="preserve">. </w:t>
      </w:r>
    </w:p>
    <w:p w:rsidR="00BE52BB" w:rsidRDefault="007A0246" w:rsidP="008D7B0D">
      <w:pPr>
        <w:tabs>
          <w:tab w:val="left" w:pos="1635"/>
        </w:tabs>
        <w:ind w:left="-284" w:right="-141"/>
        <w:rPr>
          <w:rFonts w:asciiTheme="majorBidi" w:hAnsiTheme="majorBidi" w:cstheme="majorBidi"/>
          <w:b/>
          <w:bCs/>
          <w:sz w:val="28"/>
          <w:szCs w:val="28"/>
        </w:rPr>
      </w:pPr>
      <w:r w:rsidRPr="0055302B">
        <w:rPr>
          <w:rFonts w:asciiTheme="majorBidi" w:hAnsiTheme="majorBidi" w:cstheme="majorBidi"/>
          <w:b/>
          <w:bCs/>
          <w:sz w:val="24"/>
          <w:szCs w:val="24"/>
        </w:rPr>
        <w:t>Structure de mise en œuvre :</w:t>
      </w:r>
      <w:r w:rsidR="006B6EA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52BB" w:rsidRPr="004A2536">
        <w:rPr>
          <w:rFonts w:asciiTheme="majorBidi" w:hAnsiTheme="majorBidi" w:cstheme="majorBidi"/>
          <w:sz w:val="24"/>
          <w:szCs w:val="24"/>
        </w:rPr>
        <w:t>Office de</w:t>
      </w:r>
      <w:r w:rsidR="00BE52BB" w:rsidRPr="007A363D">
        <w:rPr>
          <w:rFonts w:asciiTheme="majorBidi" w:hAnsiTheme="majorBidi" w:cstheme="majorBidi"/>
          <w:sz w:val="24"/>
          <w:szCs w:val="24"/>
        </w:rPr>
        <w:t xml:space="preserve"> Développement du Sud et experts </w:t>
      </w:r>
      <w:r w:rsidR="00BE52BB">
        <w:rPr>
          <w:rFonts w:asciiTheme="majorBidi" w:hAnsiTheme="majorBidi" w:cstheme="majorBidi"/>
          <w:sz w:val="24"/>
          <w:szCs w:val="24"/>
        </w:rPr>
        <w:t xml:space="preserve">dans le cadre du projet </w:t>
      </w:r>
      <w:r w:rsidR="008D7B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E52BB">
        <w:rPr>
          <w:rFonts w:asciiTheme="majorBidi" w:hAnsiTheme="majorBidi" w:cstheme="majorBidi"/>
          <w:sz w:val="24"/>
          <w:szCs w:val="24"/>
        </w:rPr>
        <w:t>Tuniso</w:t>
      </w:r>
      <w:proofErr w:type="spellEnd"/>
      <w:r w:rsidR="00BE52BB">
        <w:rPr>
          <w:rFonts w:asciiTheme="majorBidi" w:hAnsiTheme="majorBidi" w:cstheme="majorBidi"/>
          <w:sz w:val="24"/>
          <w:szCs w:val="24"/>
        </w:rPr>
        <w:t>-Italien, phase 2 (2011-2014)  « Renforcement des Capacités de l’ODS dans ses actions en faveur des PME dans le Sud Tunisien ».</w:t>
      </w:r>
    </w:p>
    <w:p w:rsidR="007A0246" w:rsidRPr="0001386B" w:rsidRDefault="007A0246" w:rsidP="002E0809">
      <w:pPr>
        <w:tabs>
          <w:tab w:val="left" w:pos="1635"/>
        </w:tabs>
        <w:ind w:left="-567" w:right="-14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D7B0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55302B">
        <w:rPr>
          <w:rFonts w:asciiTheme="majorBidi" w:hAnsiTheme="majorBidi" w:cstheme="majorBidi"/>
          <w:b/>
          <w:bCs/>
          <w:sz w:val="24"/>
          <w:szCs w:val="24"/>
        </w:rPr>
        <w:t>Structure bénéficiaire </w:t>
      </w:r>
      <w:r w:rsidR="0001386B" w:rsidRPr="0055302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1386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1386B" w:rsidRPr="0001386B">
        <w:rPr>
          <w:rFonts w:asciiTheme="majorBidi" w:hAnsiTheme="majorBidi" w:cstheme="majorBidi"/>
          <w:sz w:val="24"/>
          <w:szCs w:val="24"/>
        </w:rPr>
        <w:t>Office</w:t>
      </w:r>
      <w:r w:rsidRPr="007A363D">
        <w:rPr>
          <w:rFonts w:asciiTheme="majorBidi" w:hAnsiTheme="majorBidi" w:cstheme="majorBidi"/>
          <w:sz w:val="24"/>
          <w:szCs w:val="24"/>
        </w:rPr>
        <w:t xml:space="preserve"> de Développement du Sud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="0001386B">
        <w:rPr>
          <w:rFonts w:asciiTheme="majorBidi" w:hAnsiTheme="majorBidi" w:cstheme="majorBidi"/>
          <w:sz w:val="24"/>
          <w:szCs w:val="24"/>
        </w:rPr>
        <w:t xml:space="preserve">les acteurs </w:t>
      </w:r>
      <w:r>
        <w:rPr>
          <w:rFonts w:asciiTheme="majorBidi" w:hAnsiTheme="majorBidi" w:cstheme="majorBidi"/>
          <w:sz w:val="24"/>
          <w:szCs w:val="24"/>
        </w:rPr>
        <w:t xml:space="preserve"> régionaux.</w:t>
      </w:r>
    </w:p>
    <w:p w:rsidR="007A0246" w:rsidRPr="00867708" w:rsidRDefault="008D7B0D" w:rsidP="002E0809">
      <w:pPr>
        <w:tabs>
          <w:tab w:val="left" w:pos="1635"/>
        </w:tabs>
        <w:ind w:left="-567" w:right="-14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03B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0246" w:rsidRPr="0055302B">
        <w:rPr>
          <w:rFonts w:asciiTheme="majorBidi" w:hAnsiTheme="majorBidi" w:cstheme="majorBidi"/>
          <w:b/>
          <w:bCs/>
          <w:sz w:val="24"/>
          <w:szCs w:val="24"/>
        </w:rPr>
        <w:t xml:space="preserve">Nature </w:t>
      </w:r>
      <w:r w:rsidR="00703B5F" w:rsidRPr="0055302B">
        <w:rPr>
          <w:rFonts w:asciiTheme="majorBidi" w:hAnsiTheme="majorBidi" w:cstheme="majorBidi"/>
          <w:b/>
          <w:bCs/>
          <w:sz w:val="24"/>
          <w:szCs w:val="24"/>
        </w:rPr>
        <w:t>du document</w:t>
      </w:r>
      <w:r w:rsidR="007A0246" w:rsidRPr="0055302B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7A0246"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</w:p>
    <w:tbl>
      <w:tblPr>
        <w:tblStyle w:val="Grilledutableau"/>
        <w:tblW w:w="0" w:type="auto"/>
        <w:tblInd w:w="2483" w:type="dxa"/>
        <w:tblLook w:val="04A0"/>
      </w:tblPr>
      <w:tblGrid>
        <w:gridCol w:w="1985"/>
        <w:gridCol w:w="1275"/>
      </w:tblGrid>
      <w:tr w:rsidR="007A0246" w:rsidTr="0055302B">
        <w:tc>
          <w:tcPr>
            <w:tcW w:w="1985" w:type="dxa"/>
          </w:tcPr>
          <w:p w:rsidR="007A0246" w:rsidRPr="004842FF" w:rsidRDefault="007A0246" w:rsidP="002E0809">
            <w:pPr>
              <w:tabs>
                <w:tab w:val="left" w:pos="1635"/>
              </w:tabs>
              <w:ind w:right="-141"/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Etude stratégique</w:t>
            </w:r>
          </w:p>
        </w:tc>
        <w:tc>
          <w:tcPr>
            <w:tcW w:w="1275" w:type="dxa"/>
          </w:tcPr>
          <w:p w:rsidR="007A0246" w:rsidRDefault="007A0246" w:rsidP="002E0809">
            <w:pPr>
              <w:tabs>
                <w:tab w:val="left" w:pos="1635"/>
              </w:tabs>
              <w:ind w:right="-1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</w:tr>
      <w:tr w:rsidR="007A0246" w:rsidTr="0055302B">
        <w:tc>
          <w:tcPr>
            <w:tcW w:w="1985" w:type="dxa"/>
          </w:tcPr>
          <w:p w:rsidR="007A0246" w:rsidRPr="004842FF" w:rsidRDefault="007A0246" w:rsidP="002E0809">
            <w:pPr>
              <w:tabs>
                <w:tab w:val="left" w:pos="1635"/>
              </w:tabs>
              <w:ind w:right="-141"/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Etude sectorielle</w:t>
            </w:r>
          </w:p>
        </w:tc>
        <w:tc>
          <w:tcPr>
            <w:tcW w:w="1275" w:type="dxa"/>
          </w:tcPr>
          <w:p w:rsidR="007A0246" w:rsidRDefault="007A0246" w:rsidP="002E0809">
            <w:pPr>
              <w:tabs>
                <w:tab w:val="left" w:pos="1635"/>
              </w:tabs>
              <w:ind w:right="-1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</w:tr>
      <w:tr w:rsidR="007A0246" w:rsidTr="0055302B">
        <w:tc>
          <w:tcPr>
            <w:tcW w:w="1985" w:type="dxa"/>
          </w:tcPr>
          <w:p w:rsidR="007A0246" w:rsidRPr="004842FF" w:rsidRDefault="007A0246" w:rsidP="002E0809">
            <w:pPr>
              <w:tabs>
                <w:tab w:val="left" w:pos="1635"/>
              </w:tabs>
              <w:ind w:right="-141"/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Recherche</w:t>
            </w:r>
          </w:p>
        </w:tc>
        <w:tc>
          <w:tcPr>
            <w:tcW w:w="1275" w:type="dxa"/>
          </w:tcPr>
          <w:p w:rsidR="007A0246" w:rsidRDefault="007A0246" w:rsidP="002E0809">
            <w:pPr>
              <w:tabs>
                <w:tab w:val="left" w:pos="1635"/>
              </w:tabs>
              <w:ind w:right="-14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246" w:rsidTr="0055302B">
        <w:tc>
          <w:tcPr>
            <w:tcW w:w="1985" w:type="dxa"/>
          </w:tcPr>
          <w:p w:rsidR="007A0246" w:rsidRPr="004842FF" w:rsidRDefault="007A0246" w:rsidP="002E0809">
            <w:pPr>
              <w:tabs>
                <w:tab w:val="left" w:pos="1635"/>
              </w:tabs>
              <w:ind w:right="-141"/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Document de travail/Rapport</w:t>
            </w:r>
          </w:p>
        </w:tc>
        <w:tc>
          <w:tcPr>
            <w:tcW w:w="1275" w:type="dxa"/>
          </w:tcPr>
          <w:p w:rsidR="007A0246" w:rsidRDefault="007A0246" w:rsidP="002E0809">
            <w:pPr>
              <w:tabs>
                <w:tab w:val="left" w:pos="1635"/>
              </w:tabs>
              <w:ind w:right="-14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A0246" w:rsidRDefault="007A0246" w:rsidP="002E0809">
      <w:pPr>
        <w:tabs>
          <w:tab w:val="left" w:pos="1635"/>
        </w:tabs>
        <w:ind w:right="-14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A0246" w:rsidRPr="0055302B" w:rsidRDefault="008D7B0D" w:rsidP="002E0809">
      <w:pPr>
        <w:tabs>
          <w:tab w:val="left" w:pos="1635"/>
        </w:tabs>
        <w:ind w:left="-567" w:right="-14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7A0246" w:rsidRPr="0055302B">
        <w:rPr>
          <w:rFonts w:asciiTheme="majorBidi" w:hAnsiTheme="majorBidi" w:cstheme="majorBidi"/>
          <w:b/>
          <w:bCs/>
          <w:sz w:val="24"/>
          <w:szCs w:val="24"/>
        </w:rPr>
        <w:t xml:space="preserve">Les principaux domaines couverts par le </w:t>
      </w:r>
      <w:r w:rsidR="00132FA7" w:rsidRPr="0055302B">
        <w:rPr>
          <w:rFonts w:asciiTheme="majorBidi" w:hAnsiTheme="majorBidi" w:cstheme="majorBidi"/>
          <w:b/>
          <w:bCs/>
          <w:sz w:val="24"/>
          <w:szCs w:val="24"/>
        </w:rPr>
        <w:t>l’étude</w:t>
      </w:r>
      <w:r w:rsidR="007A0246" w:rsidRPr="0055302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E424C" w:rsidRPr="0030757D" w:rsidRDefault="00E74851" w:rsidP="00E74851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right="-141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situation socio-économique </w:t>
      </w:r>
      <w:r w:rsidR="00DE424C">
        <w:rPr>
          <w:rFonts w:asciiTheme="majorBidi" w:hAnsiTheme="majorBidi" w:cstheme="majorBidi"/>
          <w:sz w:val="24"/>
          <w:szCs w:val="24"/>
        </w:rPr>
        <w:t>du gouvernorat de Gafsa.</w:t>
      </w:r>
    </w:p>
    <w:p w:rsidR="00DE424C" w:rsidRDefault="00DE424C" w:rsidP="002E0809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right="-141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positionnement</w:t>
      </w:r>
      <w:r w:rsidRPr="00F03B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stratégique des secteurs dans le gouvernorat.</w:t>
      </w:r>
    </w:p>
    <w:p w:rsidR="00F26276" w:rsidRPr="00C25C99" w:rsidRDefault="00F26276" w:rsidP="002E0809">
      <w:pPr>
        <w:pStyle w:val="Paragraphedeliste"/>
        <w:tabs>
          <w:tab w:val="left" w:pos="851"/>
        </w:tabs>
        <w:ind w:left="851" w:right="-141"/>
        <w:rPr>
          <w:rFonts w:asciiTheme="majorBidi" w:hAnsiTheme="majorBidi" w:cstheme="majorBidi"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A0246" w:rsidTr="008D7B0D">
        <w:trPr>
          <w:trHeight w:val="540"/>
        </w:trPr>
        <w:tc>
          <w:tcPr>
            <w:tcW w:w="10065" w:type="dxa"/>
          </w:tcPr>
          <w:p w:rsidR="007A0246" w:rsidRDefault="007A0246" w:rsidP="002E0809">
            <w:pPr>
              <w:tabs>
                <w:tab w:val="left" w:pos="426"/>
              </w:tabs>
              <w:ind w:right="-14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</w:rPr>
              <w:t>Résumé :</w:t>
            </w:r>
          </w:p>
        </w:tc>
      </w:tr>
    </w:tbl>
    <w:p w:rsidR="007A0246" w:rsidRPr="0030757D" w:rsidRDefault="007A0246" w:rsidP="002E0809">
      <w:pPr>
        <w:pStyle w:val="Paragraphedeliste"/>
        <w:tabs>
          <w:tab w:val="left" w:pos="426"/>
        </w:tabs>
        <w:ind w:left="1191" w:right="-141"/>
        <w:rPr>
          <w:rFonts w:asciiTheme="majorBidi" w:hAnsiTheme="majorBidi" w:cstheme="majorBidi"/>
          <w:sz w:val="24"/>
          <w:szCs w:val="24"/>
        </w:rPr>
      </w:pPr>
    </w:p>
    <w:p w:rsidR="00D15D09" w:rsidRPr="0055302B" w:rsidRDefault="007A0246" w:rsidP="008D7B0D">
      <w:pPr>
        <w:tabs>
          <w:tab w:val="left" w:pos="1635"/>
        </w:tabs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 w:rsidRPr="0055302B">
        <w:rPr>
          <w:rFonts w:asciiTheme="majorBidi" w:hAnsiTheme="majorBidi" w:cstheme="majorBidi"/>
          <w:b/>
          <w:bCs/>
          <w:sz w:val="24"/>
          <w:szCs w:val="24"/>
        </w:rPr>
        <w:t>Les éléments de diagnostic</w:t>
      </w:r>
      <w:r w:rsidR="00D15D09" w:rsidRPr="0055302B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15D09" w:rsidRPr="00DE424C" w:rsidRDefault="00BC1C48" w:rsidP="002E0809">
      <w:pPr>
        <w:pStyle w:val="Paragraphedeliste"/>
        <w:numPr>
          <w:ilvl w:val="0"/>
          <w:numId w:val="5"/>
        </w:numPr>
        <w:tabs>
          <w:tab w:val="left" w:pos="163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Potentia</w:t>
      </w:r>
      <w:r w:rsidR="00DE424C" w:rsidRPr="00DE424C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>ité</w:t>
      </w:r>
      <w:r w:rsidR="00DE424C" w:rsidRPr="00DE424C">
        <w:rPr>
          <w:rFonts w:asciiTheme="majorBidi" w:hAnsiTheme="majorBidi" w:cstheme="majorBidi"/>
          <w:b/>
          <w:bCs/>
          <w:sz w:val="24"/>
          <w:szCs w:val="24"/>
        </w:rPr>
        <w:t>s existant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DE424C" w:rsidRPr="00DE424C">
        <w:rPr>
          <w:rFonts w:asciiTheme="majorBidi" w:hAnsiTheme="majorBidi" w:cstheme="majorBidi"/>
          <w:b/>
          <w:bCs/>
          <w:sz w:val="24"/>
          <w:szCs w:val="24"/>
        </w:rPr>
        <w:t>s dans le gouvernorat de</w:t>
      </w:r>
      <w:r w:rsidR="00DE424C">
        <w:rPr>
          <w:rFonts w:asciiTheme="majorBidi" w:hAnsiTheme="majorBidi" w:cstheme="majorBidi"/>
          <w:b/>
          <w:bCs/>
          <w:sz w:val="24"/>
          <w:szCs w:val="24"/>
        </w:rPr>
        <w:t xml:space="preserve"> Gafsa :</w:t>
      </w:r>
    </w:p>
    <w:p w:rsidR="00DE424C" w:rsidRPr="00DE424C" w:rsidRDefault="00DE424C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DE424C">
        <w:rPr>
          <w:rFonts w:asciiTheme="majorBidi" w:hAnsiTheme="majorBidi" w:cstheme="majorBidi"/>
          <w:sz w:val="24"/>
          <w:szCs w:val="24"/>
        </w:rPr>
        <w:t>Ressources hydrauliques de type renouvelables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E0809" w:rsidRDefault="00DE424C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DE424C">
        <w:rPr>
          <w:rFonts w:asciiTheme="majorBidi" w:hAnsiTheme="majorBidi" w:cstheme="majorBidi"/>
          <w:sz w:val="24"/>
          <w:szCs w:val="24"/>
        </w:rPr>
        <w:t>Niveau de vie dans la tranche moyenne faible et pauvreté limitée</w:t>
      </w:r>
      <w:r w:rsidR="002E0809">
        <w:rPr>
          <w:rFonts w:asciiTheme="majorBidi" w:hAnsiTheme="majorBidi" w:cstheme="majorBidi"/>
          <w:sz w:val="24"/>
          <w:szCs w:val="24"/>
        </w:rPr>
        <w:t>.</w:t>
      </w:r>
    </w:p>
    <w:p w:rsidR="00DE424C" w:rsidRPr="002E0809" w:rsidRDefault="00DE424C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2E0809">
        <w:rPr>
          <w:rFonts w:asciiTheme="majorBidi" w:hAnsiTheme="majorBidi" w:cstheme="majorBidi"/>
          <w:sz w:val="24"/>
          <w:szCs w:val="24"/>
        </w:rPr>
        <w:t>Existence d'un pôle universitaire pouvant être mis à profit dans la cadre d'une stratégie de développement</w:t>
      </w:r>
      <w:r w:rsidR="002E0809">
        <w:rPr>
          <w:rFonts w:asciiTheme="majorBidi" w:hAnsiTheme="majorBidi" w:cstheme="majorBidi"/>
          <w:sz w:val="24"/>
          <w:szCs w:val="24"/>
        </w:rPr>
        <w:t>.</w:t>
      </w:r>
    </w:p>
    <w:p w:rsidR="008433AE" w:rsidRPr="00D1021F" w:rsidRDefault="00DE424C" w:rsidP="00D1021F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  <w:rtl/>
        </w:rPr>
      </w:pPr>
      <w:r w:rsidRPr="00DE424C">
        <w:rPr>
          <w:rFonts w:asciiTheme="majorBidi" w:hAnsiTheme="majorBidi" w:cstheme="majorBidi"/>
          <w:sz w:val="24"/>
          <w:szCs w:val="24"/>
        </w:rPr>
        <w:t>Existence du groupe chimique qui peut constituer un pôle industriel structurant</w:t>
      </w:r>
      <w:r w:rsidR="002E0809">
        <w:rPr>
          <w:rFonts w:asciiTheme="majorBidi" w:hAnsiTheme="majorBidi" w:cstheme="majorBidi"/>
          <w:sz w:val="24"/>
          <w:szCs w:val="24"/>
        </w:rPr>
        <w:t>.</w:t>
      </w:r>
    </w:p>
    <w:p w:rsidR="00DE424C" w:rsidRPr="00DE424C" w:rsidRDefault="00DE424C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DE424C">
        <w:rPr>
          <w:rFonts w:asciiTheme="majorBidi" w:hAnsiTheme="majorBidi" w:cstheme="majorBidi"/>
          <w:sz w:val="24"/>
          <w:szCs w:val="24"/>
        </w:rPr>
        <w:t>Disponibilité d'un aéroport avec une piste pouvant recevoir du transport cargo et jouxté par une ligne ferroviaire</w:t>
      </w:r>
      <w:r w:rsidR="002E0809">
        <w:rPr>
          <w:rFonts w:asciiTheme="majorBidi" w:hAnsiTheme="majorBidi" w:cstheme="majorBidi"/>
          <w:sz w:val="24"/>
          <w:szCs w:val="24"/>
        </w:rPr>
        <w:t>.</w:t>
      </w:r>
      <w:r w:rsidRPr="00DE424C">
        <w:rPr>
          <w:rFonts w:asciiTheme="majorBidi" w:hAnsiTheme="majorBidi" w:cstheme="majorBidi"/>
          <w:sz w:val="24"/>
          <w:szCs w:val="24"/>
        </w:rPr>
        <w:t xml:space="preserve">  </w:t>
      </w:r>
    </w:p>
    <w:p w:rsidR="00DE424C" w:rsidRPr="00DE424C" w:rsidRDefault="00DE424C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DE424C">
        <w:rPr>
          <w:rFonts w:asciiTheme="majorBidi" w:hAnsiTheme="majorBidi" w:cstheme="majorBidi"/>
          <w:sz w:val="24"/>
          <w:szCs w:val="24"/>
        </w:rPr>
        <w:t>Position géographique stratégique pour devenir une plaque tournante et un point de passage commercial important</w:t>
      </w:r>
      <w:r w:rsidR="002E0809">
        <w:rPr>
          <w:rFonts w:asciiTheme="majorBidi" w:hAnsiTheme="majorBidi" w:cstheme="majorBidi"/>
          <w:sz w:val="24"/>
          <w:szCs w:val="24"/>
        </w:rPr>
        <w:t>.</w:t>
      </w:r>
    </w:p>
    <w:p w:rsidR="00DE424C" w:rsidRDefault="00DE424C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DE424C">
        <w:rPr>
          <w:rFonts w:asciiTheme="majorBidi" w:hAnsiTheme="majorBidi" w:cstheme="majorBidi"/>
          <w:sz w:val="24"/>
          <w:szCs w:val="24"/>
        </w:rPr>
        <w:lastRenderedPageBreak/>
        <w:t>Patrimoine historique important et tradition artisanale spécifique pouvant être mis en valeur par une stratégie touristique adéquate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E0809" w:rsidRDefault="002E0809" w:rsidP="002E0809">
      <w:pPr>
        <w:pStyle w:val="Paragraphedeliste"/>
        <w:spacing w:after="0" w:line="240" w:lineRule="auto"/>
        <w:ind w:left="317"/>
        <w:jc w:val="both"/>
        <w:rPr>
          <w:rFonts w:asciiTheme="majorBidi" w:hAnsiTheme="majorBidi" w:cstheme="majorBidi"/>
          <w:sz w:val="24"/>
          <w:szCs w:val="24"/>
        </w:rPr>
      </w:pPr>
    </w:p>
    <w:p w:rsidR="002E0809" w:rsidRDefault="002E0809" w:rsidP="002E0809">
      <w:pPr>
        <w:pStyle w:val="Paragraphedeliste"/>
        <w:numPr>
          <w:ilvl w:val="0"/>
          <w:numId w:val="5"/>
        </w:numPr>
        <w:tabs>
          <w:tab w:val="left" w:pos="163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Problèmes existants :</w:t>
      </w:r>
    </w:p>
    <w:p w:rsidR="002E0809" w:rsidRPr="002E0809" w:rsidRDefault="002E0809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2E0809">
        <w:rPr>
          <w:rFonts w:asciiTheme="majorBidi" w:hAnsiTheme="majorBidi" w:cstheme="majorBidi"/>
          <w:sz w:val="24"/>
          <w:szCs w:val="24"/>
        </w:rPr>
        <w:t>Faible niveau de précipitation annuelle ne permettant pas une alimentation suffisante des nappes</w:t>
      </w:r>
      <w:r w:rsidR="00C10A38">
        <w:rPr>
          <w:rFonts w:asciiTheme="majorBidi" w:hAnsiTheme="majorBidi" w:cstheme="majorBidi"/>
          <w:sz w:val="24"/>
          <w:szCs w:val="24"/>
        </w:rPr>
        <w:t>.</w:t>
      </w:r>
    </w:p>
    <w:p w:rsidR="002E0809" w:rsidRPr="002E0809" w:rsidRDefault="002E0809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2E0809">
        <w:rPr>
          <w:rFonts w:asciiTheme="majorBidi" w:hAnsiTheme="majorBidi" w:cstheme="majorBidi"/>
          <w:sz w:val="24"/>
          <w:szCs w:val="24"/>
        </w:rPr>
        <w:t>Sols locaux à fertilité faible et précaire limitant le choix des spéculations exploitables</w:t>
      </w:r>
      <w:r w:rsidR="00C10A38">
        <w:rPr>
          <w:rFonts w:asciiTheme="majorBidi" w:hAnsiTheme="majorBidi" w:cstheme="majorBidi"/>
          <w:sz w:val="24"/>
          <w:szCs w:val="24"/>
        </w:rPr>
        <w:t>.</w:t>
      </w:r>
    </w:p>
    <w:p w:rsidR="002E0809" w:rsidRPr="002E34FC" w:rsidRDefault="00E74851" w:rsidP="00E74851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2E34FC">
        <w:rPr>
          <w:rFonts w:asciiTheme="majorBidi" w:hAnsiTheme="majorBidi" w:cstheme="majorBidi"/>
          <w:sz w:val="24"/>
          <w:szCs w:val="24"/>
        </w:rPr>
        <w:t>Désertification d'une large superficie</w:t>
      </w:r>
      <w:r w:rsidR="002E0809" w:rsidRPr="002E34FC">
        <w:rPr>
          <w:rFonts w:asciiTheme="majorBidi" w:hAnsiTheme="majorBidi" w:cstheme="majorBidi"/>
          <w:sz w:val="24"/>
          <w:szCs w:val="24"/>
        </w:rPr>
        <w:t xml:space="preserve"> du sud du gouvernorat</w:t>
      </w:r>
      <w:r w:rsidR="00C10A38" w:rsidRPr="002E34FC">
        <w:rPr>
          <w:rFonts w:asciiTheme="majorBidi" w:hAnsiTheme="majorBidi" w:cstheme="majorBidi"/>
          <w:sz w:val="24"/>
          <w:szCs w:val="24"/>
        </w:rPr>
        <w:t>.</w:t>
      </w:r>
    </w:p>
    <w:p w:rsidR="002E0809" w:rsidRPr="002E0809" w:rsidRDefault="005F6E74" w:rsidP="005F6E74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2E0809" w:rsidRPr="002E0809">
        <w:rPr>
          <w:rFonts w:asciiTheme="majorBidi" w:hAnsiTheme="majorBidi" w:cstheme="majorBidi"/>
          <w:sz w:val="24"/>
          <w:szCs w:val="24"/>
        </w:rPr>
        <w:t xml:space="preserve">ormation </w:t>
      </w:r>
      <w:r w:rsidR="00BC1C48">
        <w:rPr>
          <w:rFonts w:asciiTheme="majorBidi" w:hAnsiTheme="majorBidi" w:cstheme="majorBidi"/>
          <w:sz w:val="24"/>
          <w:szCs w:val="24"/>
        </w:rPr>
        <w:t xml:space="preserve">qui ne </w:t>
      </w:r>
      <w:r>
        <w:rPr>
          <w:rFonts w:asciiTheme="majorBidi" w:hAnsiTheme="majorBidi" w:cstheme="majorBidi"/>
          <w:sz w:val="24"/>
          <w:szCs w:val="24"/>
        </w:rPr>
        <w:t>répond pas aux exigences du marché du travail.</w:t>
      </w:r>
    </w:p>
    <w:p w:rsidR="002E0809" w:rsidRPr="00C10A38" w:rsidRDefault="002E0809" w:rsidP="00C10A38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C10A38">
        <w:rPr>
          <w:rFonts w:asciiTheme="majorBidi" w:hAnsiTheme="majorBidi" w:cstheme="majorBidi"/>
          <w:sz w:val="24"/>
          <w:szCs w:val="24"/>
        </w:rPr>
        <w:t>Débouchés pour les diplômés limités actuellement à l'administration ou le groupe chimique</w:t>
      </w:r>
      <w:r w:rsidR="00C10A38">
        <w:rPr>
          <w:rFonts w:asciiTheme="majorBidi" w:hAnsiTheme="majorBidi" w:cstheme="majorBidi"/>
          <w:sz w:val="24"/>
          <w:szCs w:val="24"/>
        </w:rPr>
        <w:t>.</w:t>
      </w:r>
    </w:p>
    <w:p w:rsidR="002E0809" w:rsidRPr="002E0809" w:rsidRDefault="002E0809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2E0809">
        <w:rPr>
          <w:rFonts w:asciiTheme="majorBidi" w:hAnsiTheme="majorBidi" w:cstheme="majorBidi"/>
          <w:sz w:val="24"/>
          <w:szCs w:val="24"/>
        </w:rPr>
        <w:t>Chômage majoritairement dans les tranches d'âge jeunes</w:t>
      </w:r>
      <w:r w:rsidR="00C10A38">
        <w:rPr>
          <w:rFonts w:asciiTheme="majorBidi" w:hAnsiTheme="majorBidi" w:cstheme="majorBidi"/>
          <w:sz w:val="24"/>
          <w:szCs w:val="24"/>
        </w:rPr>
        <w:t>.</w:t>
      </w:r>
    </w:p>
    <w:p w:rsidR="002E0809" w:rsidRPr="002E0809" w:rsidRDefault="002E0809" w:rsidP="002E0809">
      <w:pPr>
        <w:pStyle w:val="Paragraphedeliste"/>
        <w:numPr>
          <w:ilvl w:val="0"/>
          <w:numId w:val="8"/>
        </w:numPr>
        <w:spacing w:after="0" w:line="240" w:lineRule="auto"/>
        <w:ind w:left="317" w:hanging="317"/>
        <w:jc w:val="both"/>
        <w:rPr>
          <w:rFonts w:asciiTheme="majorBidi" w:hAnsiTheme="majorBidi" w:cstheme="majorBidi"/>
          <w:sz w:val="24"/>
          <w:szCs w:val="24"/>
        </w:rPr>
      </w:pPr>
      <w:r w:rsidRPr="002E0809">
        <w:rPr>
          <w:rFonts w:asciiTheme="majorBidi" w:hAnsiTheme="majorBidi" w:cstheme="majorBidi"/>
          <w:sz w:val="24"/>
          <w:szCs w:val="24"/>
        </w:rPr>
        <w:t>Faible taux de départs en retraite et nécessité de création rapide et continue de nouveaux emplois</w:t>
      </w:r>
      <w:r w:rsidR="00C10A38">
        <w:rPr>
          <w:rFonts w:asciiTheme="majorBidi" w:hAnsiTheme="majorBidi" w:cstheme="majorBidi"/>
          <w:sz w:val="24"/>
          <w:szCs w:val="24"/>
        </w:rPr>
        <w:t>.</w:t>
      </w:r>
    </w:p>
    <w:p w:rsidR="00DE424C" w:rsidRPr="00C10A38" w:rsidRDefault="00DE424C" w:rsidP="00C10A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0246" w:rsidRPr="0055302B" w:rsidRDefault="007A0246" w:rsidP="008D7B0D">
      <w:pPr>
        <w:tabs>
          <w:tab w:val="left" w:pos="1635"/>
        </w:tabs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 w:rsidRPr="0055302B">
        <w:rPr>
          <w:rFonts w:asciiTheme="majorBidi" w:hAnsiTheme="majorBidi" w:cstheme="majorBidi"/>
          <w:b/>
          <w:bCs/>
          <w:sz w:val="24"/>
          <w:szCs w:val="24"/>
        </w:rPr>
        <w:t>Les conclusions les plus importantes :</w:t>
      </w:r>
    </w:p>
    <w:p w:rsidR="00C10A38" w:rsidRDefault="005F6E74" w:rsidP="00C10A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C10A38" w:rsidRPr="006F1744">
        <w:rPr>
          <w:rFonts w:asciiTheme="majorBidi" w:hAnsiTheme="majorBidi" w:cstheme="majorBidi"/>
          <w:sz w:val="24"/>
          <w:szCs w:val="24"/>
        </w:rPr>
        <w:t>evendication immédiate pour une situation qui a longtemps prévalue.</w:t>
      </w:r>
    </w:p>
    <w:p w:rsidR="00C10A38" w:rsidRPr="006F1744" w:rsidRDefault="005F6E74" w:rsidP="00C10A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C10A38">
        <w:rPr>
          <w:rFonts w:asciiTheme="majorBidi" w:hAnsiTheme="majorBidi" w:cstheme="majorBidi"/>
          <w:sz w:val="24"/>
          <w:szCs w:val="24"/>
        </w:rPr>
        <w:t>ontexte social et économique conditionné par l’omniprésence du groupe chimique.</w:t>
      </w:r>
    </w:p>
    <w:p w:rsidR="00C10A38" w:rsidRDefault="005F6E74" w:rsidP="002E080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C10A38">
        <w:rPr>
          <w:rFonts w:asciiTheme="majorBidi" w:hAnsiTheme="majorBidi" w:cstheme="majorBidi"/>
          <w:sz w:val="24"/>
          <w:szCs w:val="24"/>
        </w:rPr>
        <w:t>ulture tribale et sa capacité du lobbying.</w:t>
      </w:r>
    </w:p>
    <w:p w:rsidR="00C10A38" w:rsidRPr="006F1744" w:rsidRDefault="005F6E74" w:rsidP="00C10A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C10A38" w:rsidRPr="006F1744">
        <w:rPr>
          <w:rFonts w:asciiTheme="majorBidi" w:hAnsiTheme="majorBidi" w:cstheme="majorBidi"/>
          <w:sz w:val="24"/>
          <w:szCs w:val="24"/>
        </w:rPr>
        <w:t>roblème</w:t>
      </w:r>
      <w:r w:rsidR="00C10A38">
        <w:rPr>
          <w:rFonts w:asciiTheme="majorBidi" w:hAnsiTheme="majorBidi" w:cstheme="majorBidi"/>
          <w:sz w:val="24"/>
          <w:szCs w:val="24"/>
        </w:rPr>
        <w:t xml:space="preserve"> foncier compliqué par le facteur tribal.</w:t>
      </w:r>
    </w:p>
    <w:p w:rsidR="007A0246" w:rsidRPr="00C10A38" w:rsidRDefault="005F6E74" w:rsidP="00C10A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7A0246" w:rsidRPr="00C10A38">
        <w:rPr>
          <w:rFonts w:asciiTheme="majorBidi" w:hAnsiTheme="majorBidi" w:cstheme="majorBidi"/>
          <w:sz w:val="24"/>
          <w:szCs w:val="24"/>
        </w:rPr>
        <w:t>acteur climatique difficile</w:t>
      </w:r>
      <w:r w:rsidR="00C008A9" w:rsidRPr="00C10A38">
        <w:rPr>
          <w:rFonts w:asciiTheme="majorBidi" w:hAnsiTheme="majorBidi" w:cstheme="majorBidi"/>
          <w:sz w:val="24"/>
          <w:szCs w:val="24"/>
        </w:rPr>
        <w:t xml:space="preserve"> des régions arides.</w:t>
      </w:r>
    </w:p>
    <w:p w:rsidR="00C10A38" w:rsidRPr="006F1744" w:rsidRDefault="005F6E74" w:rsidP="00C10A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C10A38">
        <w:rPr>
          <w:rFonts w:asciiTheme="majorBidi" w:hAnsiTheme="majorBidi" w:cstheme="majorBidi"/>
          <w:sz w:val="24"/>
          <w:szCs w:val="24"/>
        </w:rPr>
        <w:t>récarité du modèle industriel classique.</w:t>
      </w:r>
    </w:p>
    <w:p w:rsidR="002E4C52" w:rsidRPr="00C10A38" w:rsidRDefault="005F6E74" w:rsidP="00C10A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7A0246" w:rsidRPr="00C10A38">
        <w:rPr>
          <w:rFonts w:asciiTheme="majorBidi" w:hAnsiTheme="majorBidi" w:cstheme="majorBidi"/>
          <w:sz w:val="24"/>
          <w:szCs w:val="24"/>
        </w:rPr>
        <w:t>isque de perte de la culture locale par manque de stimulant économique.</w:t>
      </w:r>
    </w:p>
    <w:p w:rsidR="002E4C52" w:rsidRPr="002E4C52" w:rsidRDefault="002E4C52" w:rsidP="002E0809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</w:p>
    <w:p w:rsidR="007A0246" w:rsidRPr="0055302B" w:rsidRDefault="007A0246" w:rsidP="00C10A38">
      <w:pPr>
        <w:tabs>
          <w:tab w:val="left" w:pos="1635"/>
        </w:tabs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 w:rsidRPr="0055302B">
        <w:rPr>
          <w:rFonts w:asciiTheme="majorBidi" w:hAnsiTheme="majorBidi" w:cstheme="majorBidi"/>
          <w:b/>
          <w:bCs/>
          <w:sz w:val="24"/>
          <w:szCs w:val="24"/>
        </w:rPr>
        <w:t xml:space="preserve">Les recommandations les plus importantes : </w:t>
      </w:r>
    </w:p>
    <w:p w:rsidR="007A0246" w:rsidRDefault="007A0246" w:rsidP="002E0809">
      <w:pPr>
        <w:rPr>
          <w:rFonts w:asciiTheme="majorBidi" w:hAnsiTheme="majorBidi" w:cstheme="majorBidi"/>
          <w:b/>
          <w:bCs/>
          <w:u w:val="single"/>
        </w:rPr>
      </w:pPr>
      <w:r w:rsidRPr="00867708">
        <w:rPr>
          <w:rFonts w:asciiTheme="majorBidi" w:hAnsiTheme="majorBidi" w:cstheme="majorBidi"/>
          <w:b/>
          <w:bCs/>
          <w:u w:val="single"/>
        </w:rPr>
        <w:t xml:space="preserve">Dans le </w:t>
      </w:r>
      <w:r>
        <w:rPr>
          <w:rFonts w:asciiTheme="majorBidi" w:hAnsiTheme="majorBidi" w:cstheme="majorBidi"/>
          <w:b/>
          <w:bCs/>
          <w:u w:val="single"/>
        </w:rPr>
        <w:t>court</w:t>
      </w:r>
      <w:r w:rsidRPr="00867708">
        <w:rPr>
          <w:rFonts w:asciiTheme="majorBidi" w:hAnsiTheme="majorBidi" w:cstheme="majorBidi"/>
          <w:b/>
          <w:bCs/>
          <w:u w:val="single"/>
        </w:rPr>
        <w:t xml:space="preserve"> terme :</w:t>
      </w:r>
    </w:p>
    <w:p w:rsidR="007A0246" w:rsidRPr="005857D6" w:rsidRDefault="006456D0" w:rsidP="002E080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</w:t>
      </w:r>
      <w:r w:rsidR="007A0246" w:rsidRPr="005857D6">
        <w:rPr>
          <w:rFonts w:asciiTheme="majorBidi" w:hAnsiTheme="majorBidi" w:cstheme="majorBidi"/>
          <w:bCs/>
          <w:sz w:val="24"/>
          <w:szCs w:val="24"/>
        </w:rPr>
        <w:t>eilleure exploitation du potentiel de l’agriculture par :</w:t>
      </w:r>
    </w:p>
    <w:p w:rsidR="007A0246" w:rsidRDefault="00445B67" w:rsidP="00E94B91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Cs/>
          <w:sz w:val="24"/>
          <w:szCs w:val="24"/>
        </w:rPr>
      </w:pPr>
      <w:r w:rsidRPr="00E94B91">
        <w:rPr>
          <w:rFonts w:asciiTheme="majorBidi" w:hAnsiTheme="majorBidi" w:cstheme="majorBidi"/>
          <w:bCs/>
          <w:sz w:val="24"/>
          <w:szCs w:val="24"/>
        </w:rPr>
        <w:t>Les</w:t>
      </w:r>
      <w:r w:rsidR="007A0246" w:rsidRPr="00E94B91">
        <w:rPr>
          <w:rFonts w:asciiTheme="majorBidi" w:hAnsiTheme="majorBidi" w:cstheme="majorBidi"/>
          <w:bCs/>
          <w:sz w:val="24"/>
          <w:szCs w:val="24"/>
        </w:rPr>
        <w:t xml:space="preserve"> culture</w:t>
      </w:r>
      <w:r w:rsidRPr="00E94B91">
        <w:rPr>
          <w:rFonts w:asciiTheme="majorBidi" w:hAnsiTheme="majorBidi" w:cstheme="majorBidi"/>
          <w:bCs/>
          <w:sz w:val="24"/>
          <w:szCs w:val="24"/>
        </w:rPr>
        <w:t>s</w:t>
      </w:r>
      <w:r w:rsidR="007A0246" w:rsidRPr="00E94B9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94B91">
        <w:rPr>
          <w:rFonts w:asciiTheme="majorBidi" w:hAnsiTheme="majorBidi" w:cstheme="majorBidi"/>
          <w:bCs/>
          <w:sz w:val="24"/>
          <w:szCs w:val="24"/>
        </w:rPr>
        <w:t>maraichères</w:t>
      </w:r>
      <w:r w:rsidR="00E94B91">
        <w:rPr>
          <w:rFonts w:asciiTheme="majorBidi" w:hAnsiTheme="majorBidi" w:cstheme="majorBidi"/>
          <w:bCs/>
          <w:sz w:val="24"/>
          <w:szCs w:val="24"/>
        </w:rPr>
        <w:t> ;</w:t>
      </w:r>
      <w:r w:rsidRPr="00E94B91">
        <w:rPr>
          <w:rFonts w:asciiTheme="majorBidi" w:hAnsiTheme="majorBidi" w:cstheme="majorBidi"/>
          <w:bCs/>
          <w:sz w:val="24"/>
          <w:szCs w:val="24"/>
        </w:rPr>
        <w:t xml:space="preserve"> telles que la pomme de terre, la tomate, la laitue ou l'asperge</w:t>
      </w:r>
      <w:r w:rsidR="00E94B91">
        <w:rPr>
          <w:rFonts w:asciiTheme="majorBidi" w:hAnsiTheme="majorBidi" w:cstheme="majorBidi"/>
          <w:bCs/>
          <w:sz w:val="24"/>
          <w:szCs w:val="24"/>
        </w:rPr>
        <w:t xml:space="preserve"> ; </w:t>
      </w:r>
      <w:r w:rsidRPr="00E94B91">
        <w:rPr>
          <w:rFonts w:asciiTheme="majorBidi" w:hAnsiTheme="majorBidi" w:cstheme="majorBidi"/>
          <w:bCs/>
          <w:sz w:val="24"/>
          <w:szCs w:val="24"/>
        </w:rPr>
        <w:t>valorisation et transformation de leurs produits.</w:t>
      </w:r>
    </w:p>
    <w:p w:rsidR="00E94B91" w:rsidRPr="00E94B91" w:rsidRDefault="007A0246" w:rsidP="00E94B91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Cs/>
          <w:sz w:val="24"/>
          <w:szCs w:val="24"/>
        </w:rPr>
      </w:pPr>
      <w:r w:rsidRPr="00E94B9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E2973" w:rsidRPr="00E94B91">
        <w:rPr>
          <w:rFonts w:asciiTheme="majorBidi" w:hAnsiTheme="majorBidi" w:cstheme="majorBidi"/>
          <w:bCs/>
          <w:sz w:val="24"/>
          <w:szCs w:val="24"/>
        </w:rPr>
        <w:t>L</w:t>
      </w:r>
      <w:r w:rsidR="00E94B91" w:rsidRPr="00E94B91">
        <w:rPr>
          <w:rFonts w:asciiTheme="majorBidi" w:hAnsiTheme="majorBidi" w:cstheme="majorBidi"/>
          <w:bCs/>
          <w:sz w:val="24"/>
          <w:szCs w:val="24"/>
        </w:rPr>
        <w:t>es</w:t>
      </w:r>
      <w:r w:rsidR="00AE2973" w:rsidRPr="00E94B91">
        <w:rPr>
          <w:rFonts w:asciiTheme="majorBidi" w:hAnsiTheme="majorBidi" w:cstheme="majorBidi"/>
          <w:bCs/>
          <w:sz w:val="24"/>
          <w:szCs w:val="24"/>
        </w:rPr>
        <w:t xml:space="preserve"> culture</w:t>
      </w:r>
      <w:r w:rsidR="00E94B91" w:rsidRPr="00E94B91">
        <w:rPr>
          <w:rFonts w:asciiTheme="majorBidi" w:hAnsiTheme="majorBidi" w:cstheme="majorBidi"/>
          <w:bCs/>
          <w:sz w:val="24"/>
          <w:szCs w:val="24"/>
        </w:rPr>
        <w:t>s</w:t>
      </w:r>
      <w:r w:rsidRPr="00E94B9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94B91">
        <w:rPr>
          <w:rFonts w:asciiTheme="majorHAnsi" w:hAnsiTheme="majorHAnsi"/>
        </w:rPr>
        <w:t>arborescentes ; telles que l'amande, la pistache ou la figue ;</w:t>
      </w:r>
      <w:r w:rsidR="00E94B91" w:rsidRPr="00E94B91">
        <w:rPr>
          <w:rFonts w:asciiTheme="majorBidi" w:hAnsiTheme="majorBidi" w:cstheme="majorBidi"/>
          <w:bCs/>
          <w:sz w:val="24"/>
          <w:szCs w:val="24"/>
        </w:rPr>
        <w:t xml:space="preserve"> valorisation et transformation de leurs produits.</w:t>
      </w:r>
    </w:p>
    <w:p w:rsidR="007A0246" w:rsidRDefault="006456D0" w:rsidP="002E0809">
      <w:pPr>
        <w:pStyle w:val="Paragraphedeliste"/>
        <w:numPr>
          <w:ilvl w:val="0"/>
          <w:numId w:val="3"/>
        </w:numPr>
        <w:tabs>
          <w:tab w:val="left" w:pos="284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</w:t>
      </w:r>
      <w:r w:rsidR="007A0246" w:rsidRPr="005857D6">
        <w:rPr>
          <w:rFonts w:asciiTheme="majorBidi" w:hAnsiTheme="majorBidi" w:cstheme="majorBidi"/>
          <w:bCs/>
          <w:sz w:val="24"/>
          <w:szCs w:val="24"/>
        </w:rPr>
        <w:t>eilleure exploitation du potentiel de tourisme culturel et de l’artisanat.</w:t>
      </w:r>
    </w:p>
    <w:p w:rsidR="00121855" w:rsidRDefault="006456D0" w:rsidP="002E0809">
      <w:pPr>
        <w:pStyle w:val="Paragraphedeliste"/>
        <w:numPr>
          <w:ilvl w:val="0"/>
          <w:numId w:val="3"/>
        </w:numPr>
        <w:tabs>
          <w:tab w:val="left" w:pos="284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</w:t>
      </w:r>
      <w:r w:rsidR="00121855" w:rsidRPr="005857D6">
        <w:rPr>
          <w:rFonts w:asciiTheme="majorBidi" w:hAnsiTheme="majorBidi" w:cstheme="majorBidi"/>
          <w:bCs/>
          <w:sz w:val="24"/>
          <w:szCs w:val="24"/>
        </w:rPr>
        <w:t>ei</w:t>
      </w:r>
      <w:r w:rsidR="00121855">
        <w:rPr>
          <w:rFonts w:asciiTheme="majorBidi" w:hAnsiTheme="majorBidi" w:cstheme="majorBidi"/>
          <w:bCs/>
          <w:sz w:val="24"/>
          <w:szCs w:val="24"/>
        </w:rPr>
        <w:t>lleure exploitation et la valorisation de ressources naturelles en gypse, argile et autres.</w:t>
      </w:r>
    </w:p>
    <w:p w:rsidR="00121855" w:rsidRPr="005857D6" w:rsidRDefault="006456D0" w:rsidP="002E0809">
      <w:pPr>
        <w:pStyle w:val="Paragraphedeliste"/>
        <w:numPr>
          <w:ilvl w:val="0"/>
          <w:numId w:val="3"/>
        </w:numPr>
        <w:tabs>
          <w:tab w:val="left" w:pos="284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</w:t>
      </w:r>
      <w:r w:rsidR="00121855" w:rsidRPr="005857D6">
        <w:rPr>
          <w:rFonts w:asciiTheme="majorBidi" w:hAnsiTheme="majorBidi" w:cstheme="majorBidi"/>
          <w:bCs/>
          <w:sz w:val="24"/>
          <w:szCs w:val="24"/>
        </w:rPr>
        <w:t>eilleure exploitation du potentiel</w:t>
      </w:r>
      <w:r w:rsidR="0012185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4029D">
        <w:rPr>
          <w:rFonts w:asciiTheme="majorBidi" w:hAnsiTheme="majorBidi" w:cstheme="majorBidi"/>
          <w:bCs/>
          <w:sz w:val="24"/>
          <w:szCs w:val="24"/>
        </w:rPr>
        <w:t xml:space="preserve">et de l’expérience des techniciens, qui travaillent  dans le bassin minier, dans le domaine de la gestion et de l’entretien des grandes entreprises et des </w:t>
      </w:r>
      <w:r w:rsidR="000228EB">
        <w:rPr>
          <w:rFonts w:asciiTheme="majorBidi" w:hAnsiTheme="majorBidi" w:cstheme="majorBidi"/>
          <w:bCs/>
          <w:sz w:val="24"/>
          <w:szCs w:val="24"/>
        </w:rPr>
        <w:t>grands</w:t>
      </w:r>
      <w:r w:rsidR="0014029D">
        <w:rPr>
          <w:rFonts w:asciiTheme="majorBidi" w:hAnsiTheme="majorBidi" w:cstheme="majorBidi"/>
          <w:bCs/>
          <w:sz w:val="24"/>
          <w:szCs w:val="24"/>
        </w:rPr>
        <w:t xml:space="preserve"> équipements industriels.</w:t>
      </w:r>
    </w:p>
    <w:p w:rsidR="007A0246" w:rsidRDefault="007A0246" w:rsidP="002E0809">
      <w:pPr>
        <w:tabs>
          <w:tab w:val="left" w:pos="9498"/>
        </w:tabs>
        <w:rPr>
          <w:rFonts w:asciiTheme="majorBidi" w:hAnsiTheme="majorBidi" w:cstheme="majorBidi"/>
          <w:b/>
          <w:bCs/>
          <w:u w:val="single"/>
        </w:rPr>
      </w:pPr>
      <w:r w:rsidRPr="00A50FD6">
        <w:rPr>
          <w:rFonts w:asciiTheme="majorBidi" w:hAnsiTheme="majorBidi" w:cstheme="majorBidi"/>
          <w:b/>
          <w:bCs/>
          <w:u w:val="single"/>
        </w:rPr>
        <w:t>Dans le moyen terme :</w:t>
      </w:r>
    </w:p>
    <w:p w:rsidR="00DE07C4" w:rsidRDefault="00DE07C4" w:rsidP="00DE07C4">
      <w:pPr>
        <w:pStyle w:val="Paragraphedeliste"/>
        <w:numPr>
          <w:ilvl w:val="0"/>
          <w:numId w:val="3"/>
        </w:numPr>
        <w:tabs>
          <w:tab w:val="left" w:pos="284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R</w:t>
      </w:r>
      <w:r w:rsidRPr="00DE07C4">
        <w:rPr>
          <w:rFonts w:asciiTheme="majorBidi" w:hAnsiTheme="majorBidi" w:cstheme="majorBidi"/>
          <w:bCs/>
          <w:sz w:val="24"/>
          <w:szCs w:val="24"/>
        </w:rPr>
        <w:t>emembrement des parcelles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DE07C4" w:rsidRPr="00DE07C4" w:rsidRDefault="00DE07C4" w:rsidP="00DE07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E07C4">
        <w:rPr>
          <w:rFonts w:asciiTheme="majorBidi" w:hAnsiTheme="majorBidi" w:cstheme="majorBidi"/>
          <w:bCs/>
          <w:sz w:val="24"/>
          <w:szCs w:val="24"/>
        </w:rPr>
        <w:t>Généralisation des techniques d'irrigation économique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DE07C4" w:rsidRDefault="00DE07C4" w:rsidP="00DE07C4">
      <w:pPr>
        <w:pStyle w:val="Paragraphedeliste"/>
        <w:numPr>
          <w:ilvl w:val="0"/>
          <w:numId w:val="3"/>
        </w:numPr>
        <w:tabs>
          <w:tab w:val="left" w:pos="284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</w:t>
      </w:r>
      <w:r w:rsidRPr="00DE07C4">
        <w:rPr>
          <w:rFonts w:asciiTheme="majorBidi" w:hAnsiTheme="majorBidi" w:cstheme="majorBidi"/>
          <w:bCs/>
          <w:sz w:val="24"/>
          <w:szCs w:val="24"/>
        </w:rPr>
        <w:t>ésalinisation des nappes ou eau de mer dans le cadre des régions du sud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DE07C4" w:rsidRPr="00DE07C4" w:rsidRDefault="00DE07C4" w:rsidP="00DE07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E07C4">
        <w:rPr>
          <w:rFonts w:asciiTheme="majorBidi" w:hAnsiTheme="majorBidi" w:cstheme="majorBidi"/>
          <w:bCs/>
          <w:sz w:val="24"/>
          <w:szCs w:val="24"/>
        </w:rPr>
        <w:t>Précision des compositions minéralogique et des potentiels des gisements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DE07C4" w:rsidRDefault="00DE07C4" w:rsidP="00DE07C4">
      <w:pPr>
        <w:pStyle w:val="Paragraphedeliste"/>
        <w:numPr>
          <w:ilvl w:val="0"/>
          <w:numId w:val="3"/>
        </w:numPr>
        <w:tabs>
          <w:tab w:val="left" w:pos="284"/>
        </w:tabs>
        <w:rPr>
          <w:rFonts w:asciiTheme="majorBidi" w:hAnsiTheme="majorBidi" w:cstheme="majorBidi"/>
          <w:bCs/>
          <w:sz w:val="24"/>
          <w:szCs w:val="24"/>
        </w:rPr>
      </w:pPr>
      <w:r w:rsidRPr="00DE07C4">
        <w:rPr>
          <w:rFonts w:asciiTheme="majorBidi" w:hAnsiTheme="majorBidi" w:cstheme="majorBidi"/>
          <w:bCs/>
          <w:sz w:val="24"/>
          <w:szCs w:val="24"/>
        </w:rPr>
        <w:t>Résolution des problèmes fonciers en préparation de l'installation d'unités d'exploitation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DE07C4" w:rsidRPr="00410BC7" w:rsidRDefault="00DE07C4" w:rsidP="00410BC7">
      <w:pPr>
        <w:spacing w:after="0" w:line="240" w:lineRule="auto"/>
        <w:ind w:left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410BC7">
        <w:rPr>
          <w:rFonts w:asciiTheme="majorBidi" w:hAnsiTheme="majorBidi" w:cstheme="majorBidi"/>
          <w:bCs/>
          <w:sz w:val="24"/>
          <w:szCs w:val="24"/>
        </w:rPr>
        <w:t>.</w:t>
      </w:r>
    </w:p>
    <w:p w:rsidR="00DE07C4" w:rsidRPr="00DE07C4" w:rsidRDefault="00DE07C4" w:rsidP="00DE07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E07C4">
        <w:rPr>
          <w:rFonts w:asciiTheme="majorBidi" w:hAnsiTheme="majorBidi" w:cstheme="majorBidi"/>
          <w:bCs/>
          <w:sz w:val="24"/>
          <w:szCs w:val="24"/>
        </w:rPr>
        <w:lastRenderedPageBreak/>
        <w:t>Conception d'un cadre global de tourisme culturel et environnemental des régions du sud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7A0246" w:rsidRPr="00DE07C4" w:rsidRDefault="00DE07C4" w:rsidP="00DE07C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E07C4">
        <w:rPr>
          <w:rFonts w:asciiTheme="majorBidi" w:hAnsiTheme="majorBidi" w:cstheme="majorBidi"/>
          <w:bCs/>
          <w:sz w:val="24"/>
          <w:szCs w:val="24"/>
        </w:rPr>
        <w:t>Mettre en place un projet de réhabilitation des sites et de préparation des circuits et parcours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DA4973" w:rsidRPr="00DE07C4" w:rsidRDefault="00DA4973" w:rsidP="00DE07C4">
      <w:pPr>
        <w:pStyle w:val="Paragraphedeliste"/>
        <w:spacing w:after="0" w:line="240" w:lineRule="auto"/>
        <w:ind w:left="644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DA4973" w:rsidRPr="00DE07C4" w:rsidSect="00DE424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68B"/>
    <w:multiLevelType w:val="hybridMultilevel"/>
    <w:tmpl w:val="05F00F40"/>
    <w:lvl w:ilvl="0" w:tplc="846A7B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333"/>
    <w:multiLevelType w:val="hybridMultilevel"/>
    <w:tmpl w:val="CF9AC69E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CF0386"/>
    <w:multiLevelType w:val="hybridMultilevel"/>
    <w:tmpl w:val="D6ECAAF8"/>
    <w:lvl w:ilvl="0" w:tplc="E6806E3C">
      <w:numFmt w:val="bullet"/>
      <w:lvlText w:val="-"/>
      <w:lvlJc w:val="left"/>
      <w:pPr>
        <w:ind w:left="873" w:hanging="360"/>
      </w:pPr>
      <w:rPr>
        <w:rFonts w:ascii="Cambria" w:eastAsiaTheme="minorHAnsi" w:hAnsi="Cambria" w:cs="Cambri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216433F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2576A2"/>
    <w:multiLevelType w:val="hybridMultilevel"/>
    <w:tmpl w:val="3E84B752"/>
    <w:lvl w:ilvl="0" w:tplc="04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9F3761"/>
    <w:multiLevelType w:val="hybridMultilevel"/>
    <w:tmpl w:val="7FC646C6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3D65F2F"/>
    <w:multiLevelType w:val="hybridMultilevel"/>
    <w:tmpl w:val="BFDE3E8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3A2A95"/>
    <w:multiLevelType w:val="hybridMultilevel"/>
    <w:tmpl w:val="BC82401E"/>
    <w:lvl w:ilvl="0" w:tplc="E6806E3C">
      <w:numFmt w:val="bullet"/>
      <w:lvlText w:val="-"/>
      <w:lvlJc w:val="left"/>
      <w:pPr>
        <w:ind w:left="1080" w:hanging="360"/>
      </w:pPr>
      <w:rPr>
        <w:rFonts w:ascii="Cambria" w:eastAsiaTheme="minorHAnsi" w:hAnsi="Cambria" w:cs="Cambri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AE5CB0"/>
    <w:multiLevelType w:val="multilevel"/>
    <w:tmpl w:val="A3987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B1057A4"/>
    <w:multiLevelType w:val="hybridMultilevel"/>
    <w:tmpl w:val="34065B90"/>
    <w:lvl w:ilvl="0" w:tplc="2ACC43F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4DAD"/>
    <w:multiLevelType w:val="hybridMultilevel"/>
    <w:tmpl w:val="5836940C"/>
    <w:lvl w:ilvl="0" w:tplc="E6806E3C">
      <w:numFmt w:val="bullet"/>
      <w:lvlText w:val="-"/>
      <w:lvlJc w:val="left"/>
      <w:pPr>
        <w:ind w:left="873" w:hanging="360"/>
      </w:pPr>
      <w:rPr>
        <w:rFonts w:ascii="Cambria" w:eastAsiaTheme="minorHAnsi" w:hAnsi="Cambria" w:cs="Cambri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F140695"/>
    <w:multiLevelType w:val="hybridMultilevel"/>
    <w:tmpl w:val="F23EDC44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205504C"/>
    <w:multiLevelType w:val="hybridMultilevel"/>
    <w:tmpl w:val="525CF4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477DE"/>
    <w:multiLevelType w:val="hybridMultilevel"/>
    <w:tmpl w:val="4C2CB9DC"/>
    <w:lvl w:ilvl="0" w:tplc="E6806E3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E7C6F"/>
    <w:multiLevelType w:val="hybridMultilevel"/>
    <w:tmpl w:val="353EFDA4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7ED80118"/>
    <w:multiLevelType w:val="hybridMultilevel"/>
    <w:tmpl w:val="B412C892"/>
    <w:lvl w:ilvl="0" w:tplc="337221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435FA"/>
    <w:multiLevelType w:val="hybridMultilevel"/>
    <w:tmpl w:val="0AC20CA0"/>
    <w:lvl w:ilvl="0" w:tplc="E6806E3C">
      <w:numFmt w:val="bullet"/>
      <w:lvlText w:val="-"/>
      <w:lvlJc w:val="left"/>
      <w:pPr>
        <w:ind w:left="105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246"/>
    <w:rsid w:val="0001386B"/>
    <w:rsid w:val="00013C0A"/>
    <w:rsid w:val="000228EB"/>
    <w:rsid w:val="0006492B"/>
    <w:rsid w:val="000C75FC"/>
    <w:rsid w:val="0010001F"/>
    <w:rsid w:val="00121855"/>
    <w:rsid w:val="00132FA7"/>
    <w:rsid w:val="0014029D"/>
    <w:rsid w:val="00140351"/>
    <w:rsid w:val="00194448"/>
    <w:rsid w:val="00211C30"/>
    <w:rsid w:val="0022740B"/>
    <w:rsid w:val="002515D8"/>
    <w:rsid w:val="002E0809"/>
    <w:rsid w:val="002E34FC"/>
    <w:rsid w:val="002E4C52"/>
    <w:rsid w:val="002F0508"/>
    <w:rsid w:val="00325FCA"/>
    <w:rsid w:val="00390713"/>
    <w:rsid w:val="003C3E5B"/>
    <w:rsid w:val="003E43C4"/>
    <w:rsid w:val="00410BC7"/>
    <w:rsid w:val="00445B67"/>
    <w:rsid w:val="00483B98"/>
    <w:rsid w:val="00493E61"/>
    <w:rsid w:val="0049717F"/>
    <w:rsid w:val="004B58F9"/>
    <w:rsid w:val="004E5ECB"/>
    <w:rsid w:val="00512CFE"/>
    <w:rsid w:val="0052111C"/>
    <w:rsid w:val="0055302B"/>
    <w:rsid w:val="00571C7B"/>
    <w:rsid w:val="005F6E74"/>
    <w:rsid w:val="00610887"/>
    <w:rsid w:val="00615D8E"/>
    <w:rsid w:val="006456D0"/>
    <w:rsid w:val="00692DF1"/>
    <w:rsid w:val="006B5550"/>
    <w:rsid w:val="006B6EAF"/>
    <w:rsid w:val="006D2E8B"/>
    <w:rsid w:val="00703B5F"/>
    <w:rsid w:val="007A0246"/>
    <w:rsid w:val="007E48F9"/>
    <w:rsid w:val="008433AE"/>
    <w:rsid w:val="00890901"/>
    <w:rsid w:val="008C2DF6"/>
    <w:rsid w:val="008C61F8"/>
    <w:rsid w:val="008D7B0D"/>
    <w:rsid w:val="00AE2973"/>
    <w:rsid w:val="00B0032F"/>
    <w:rsid w:val="00B03413"/>
    <w:rsid w:val="00B54A5C"/>
    <w:rsid w:val="00B84E7B"/>
    <w:rsid w:val="00B90036"/>
    <w:rsid w:val="00BA7C03"/>
    <w:rsid w:val="00BB0DD0"/>
    <w:rsid w:val="00BC1C48"/>
    <w:rsid w:val="00BE52BB"/>
    <w:rsid w:val="00C008A9"/>
    <w:rsid w:val="00C10A38"/>
    <w:rsid w:val="00C1345F"/>
    <w:rsid w:val="00C25C99"/>
    <w:rsid w:val="00C865BA"/>
    <w:rsid w:val="00D1021F"/>
    <w:rsid w:val="00D15D09"/>
    <w:rsid w:val="00D3078F"/>
    <w:rsid w:val="00D46F62"/>
    <w:rsid w:val="00D74BD2"/>
    <w:rsid w:val="00D840C0"/>
    <w:rsid w:val="00DA280A"/>
    <w:rsid w:val="00DA4973"/>
    <w:rsid w:val="00DD7969"/>
    <w:rsid w:val="00DE07C4"/>
    <w:rsid w:val="00DE424C"/>
    <w:rsid w:val="00DF1D76"/>
    <w:rsid w:val="00E24032"/>
    <w:rsid w:val="00E5311D"/>
    <w:rsid w:val="00E569DD"/>
    <w:rsid w:val="00E71A02"/>
    <w:rsid w:val="00E74851"/>
    <w:rsid w:val="00E81278"/>
    <w:rsid w:val="00E94B91"/>
    <w:rsid w:val="00F26276"/>
    <w:rsid w:val="00F26D2D"/>
    <w:rsid w:val="00F87595"/>
    <w:rsid w:val="00F909E1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46"/>
    <w:pPr>
      <w:spacing w:after="200"/>
      <w:ind w:lef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0246"/>
    <w:pPr>
      <w:spacing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02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2018-01-30T10:34:00Z</dcterms:created>
  <dcterms:modified xsi:type="dcterms:W3CDTF">2018-03-02T10:12:00Z</dcterms:modified>
</cp:coreProperties>
</file>